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498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Беспалова Ильи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Беспалов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зд.19, каб.315,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</w:t>
      </w:r>
      <w:r>
        <w:rPr>
          <w:rFonts w:ascii="Times New Roman" w:eastAsia="Times New Roman" w:hAnsi="Times New Roman" w:cs="Times New Roman"/>
        </w:rPr>
        <w:t xml:space="preserve">по налогу на прибыль организаций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.3 ст.289, п.4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289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Беспалов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(декларации) расчета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Беспалов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АКРОЛАБ ТЕХНОЛОДЖИ ЮГРА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Беспалова Илью</w:t>
      </w:r>
      <w:r>
        <w:rPr>
          <w:rFonts w:ascii="Times New Roman" w:eastAsia="Times New Roman" w:hAnsi="Times New Roman" w:cs="Times New Roman"/>
          <w:b/>
          <w:bCs/>
        </w:rPr>
        <w:t xml:space="preserve">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6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3">
    <w:name w:val="cat-UserDefined grp-26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